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B2" w:rsidRDefault="00E530B2" w:rsidP="00E530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B2" w:rsidRDefault="00E530B2" w:rsidP="00E53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-223520</wp:posOffset>
            </wp:positionV>
            <wp:extent cx="72707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40" y="21109"/>
                <wp:lineTo x="20940" y="0"/>
                <wp:lineTo x="0" y="0"/>
              </wp:wrapPolygon>
            </wp:wrapThrough>
            <wp:docPr id="1" name="Obrázok 1" descr="logo ce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 cen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Centrum poradenstva a prevencie Púchov</w:t>
      </w:r>
    </w:p>
    <w:p w:rsidR="00E530B2" w:rsidRDefault="00E530B2" w:rsidP="00E530B2">
      <w:pPr>
        <w:pBdr>
          <w:bottom w:val="single" w:sz="4" w:space="1" w:color="auto"/>
        </w:pBd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Námestie slobody 1657/13, 020 01 Púchov, č.t. : 0911932849, e-mail: info@poradnapuchov.sk</w:t>
      </w: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30B2" w:rsidRDefault="00E530B2" w:rsidP="00E530B2">
      <w:pPr>
        <w:pStyle w:val="Default"/>
        <w:spacing w:line="276" w:lineRule="auto"/>
      </w:pPr>
    </w:p>
    <w:p w:rsidR="00E530B2" w:rsidRDefault="00E530B2" w:rsidP="00E5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Smernica</w:t>
      </w:r>
    </w:p>
    <w:p w:rsidR="00E530B2" w:rsidRDefault="00E530B2" w:rsidP="00E530B2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Postup pri oznamovaní protispoločenskej činnosti</w:t>
      </w:r>
    </w:p>
    <w:p w:rsidR="00E530B2" w:rsidRDefault="00E530B2" w:rsidP="00E530B2">
      <w:pPr>
        <w:spacing w:line="276" w:lineRule="auto"/>
        <w:rPr>
          <w:rFonts w:ascii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číslo  004/ 2023</w:t>
      </w:r>
    </w:p>
    <w:p w:rsidR="00E530B2" w:rsidRDefault="00E530B2" w:rsidP="00E530B2">
      <w:pPr>
        <w:spacing w:line="276" w:lineRule="auto"/>
        <w:rPr>
          <w:rFonts w:ascii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</w:rPr>
      </w:pPr>
    </w:p>
    <w:p w:rsidR="00E530B2" w:rsidRDefault="00E530B2" w:rsidP="00E530B2">
      <w:pPr>
        <w:spacing w:line="276" w:lineRule="auto"/>
        <w:jc w:val="both"/>
        <w:rPr>
          <w:rFonts w:ascii="Times New Roman" w:hAnsi="Times New Roman" w:cs="Times New Roman"/>
        </w:rPr>
      </w:pPr>
    </w:p>
    <w:p w:rsidR="00E530B2" w:rsidRDefault="00E530B2" w:rsidP="00E530B2">
      <w:pPr>
        <w:spacing w:line="276" w:lineRule="auto"/>
        <w:jc w:val="both"/>
        <w:rPr>
          <w:rFonts w:ascii="Times New Roman" w:hAnsi="Times New Roman" w:cs="Times New Roman"/>
        </w:rPr>
      </w:pPr>
    </w:p>
    <w:p w:rsidR="00E530B2" w:rsidRDefault="00E530B2" w:rsidP="00E530B2">
      <w:pPr>
        <w:spacing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Smernica nadobúda platnosť a účinnosť dňom vydania</w:t>
      </w: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Schválila</w:t>
      </w: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Mgr. Iveta </w:t>
      </w:r>
      <w:proofErr w:type="spellStart"/>
      <w:r>
        <w:rPr>
          <w:rFonts w:ascii="Times New Roman" w:hAnsi="Times New Roman" w:cs="Times New Roman"/>
          <w:sz w:val="28"/>
          <w:szCs w:val="28"/>
        </w:rPr>
        <w:t>Smahová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riaditeľka </w:t>
      </w: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</w:rPr>
      </w:pPr>
    </w:p>
    <w:p w:rsidR="00E530B2" w:rsidRDefault="00E530B2" w:rsidP="00E530B2">
      <w:pPr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Dátum vydania: 01. 09. 2023</w:t>
      </w: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E530B2" w:rsidRDefault="00E530B2" w:rsidP="00E530B2">
      <w:pPr>
        <w:pStyle w:val="Default"/>
        <w:spacing w:line="276" w:lineRule="auto"/>
        <w:ind w:firstLine="720"/>
        <w:jc w:val="both"/>
      </w:pPr>
      <w:bookmarkStart w:id="0" w:name="page2"/>
      <w:bookmarkStart w:id="1" w:name="page3"/>
      <w:bookmarkEnd w:id="0"/>
      <w:bookmarkEnd w:id="1"/>
      <w:r>
        <w:lastRenderedPageBreak/>
        <w:t xml:space="preserve">Riaditeľ centra v súlade s ustanovením § 10 ods. 8 zákona č. 54/2019 Z. z. o ochrane oznamovateľov protispoločenskej činnosti a o zmene a doplnení niektorých zákonov (ďalej len „zákon o ochrane oznamovateľov protispoločenskej činnosti“) vydáva túto smernicu: </w:t>
      </w: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Smernica o postupe pri oznamovaní protispoločenskej činnosti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Číslo 004/2023</w:t>
      </w:r>
    </w:p>
    <w:p w:rsidR="00E530B2" w:rsidRDefault="00E530B2" w:rsidP="00E530B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Článok I.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Účel a úvodné ustanovenia</w:t>
      </w:r>
    </w:p>
    <w:p w:rsidR="00E530B2" w:rsidRDefault="00E530B2" w:rsidP="00E530B2">
      <w:pPr>
        <w:pStyle w:val="Default"/>
        <w:spacing w:line="276" w:lineRule="auto"/>
        <w:jc w:val="center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ind w:firstLine="360"/>
        <w:jc w:val="both"/>
      </w:pPr>
      <w:r>
        <w:t xml:space="preserve">Účelom tejto smernice je podrobnejšia úprava postupu pri oznamovaní protispoločenskej činnosti u zamestnávateľa, ktorým je Centrum poradenstva a prevencie, Námestie slobody 1657/13, Púchov. </w:t>
      </w:r>
    </w:p>
    <w:p w:rsidR="00E530B2" w:rsidRDefault="00E530B2" w:rsidP="00E530B2">
      <w:pPr>
        <w:pStyle w:val="Default"/>
        <w:spacing w:line="276" w:lineRule="auto"/>
      </w:pPr>
    </w:p>
    <w:p w:rsidR="00E530B2" w:rsidRDefault="00E530B2" w:rsidP="00E530B2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Táto smernica upravuje postup pri podávaní a prijímaní oznámení, týkajúcich sa kriminality alebo inej protispoločenskej činnosti (ďalej len „protispoločenská činnosť“), o ktorej sa fyzická osoba dozvedela v súvislosti s výkonom svojho zamestnania, povolania, postavenia alebo funkcie, postup pri evidovaní oznámení a preverovaní oznámení, pri oboznamovaní oznamovateľa s výsledkom preverenia jeho oznámenia, ako aj podrobnosti o oprávneniach zodpovednej osoby pri preverovaní oznámení, o zachovaní mlčanlivosti o totožnosti oznamovateľa a o spracúvaní osobných údajov uvedených v oznámení.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</w:p>
    <w:p w:rsidR="00E530B2" w:rsidRDefault="00E530B2" w:rsidP="00E530B2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Smernica je záväzná pre riaditeľa a pre zamestnancov, ktorých zamestnávateľom je Centrum poradenstva a prevencie, Námestie slobody 1657/13, Púchov. </w:t>
      </w:r>
    </w:p>
    <w:p w:rsidR="00E530B2" w:rsidRDefault="00E530B2" w:rsidP="00E530B2">
      <w:pPr>
        <w:pStyle w:val="Odsekzoznamu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30B2" w:rsidRDefault="00E530B2" w:rsidP="00E530B2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Podmienky poskytovania ochrany v pracovnoprávnom vzťahu v súvislosti s oznamovaním </w:t>
      </w:r>
    </w:p>
    <w:p w:rsidR="00E530B2" w:rsidRDefault="00E530B2" w:rsidP="00E530B2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protispoločenskej činnosti, práva a povinnosti osôb pri oznamovaní protispoločenskej činnosti a vymedzenie pojmov, súvisiacich s oznamovaním protispoločenskej činnosti upravuje zákon o ochrane oznamovateľov protispoločenskej činnosti.</w:t>
      </w: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Článok II.</w:t>
      </w: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Základné pojmy</w:t>
      </w: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</w:pPr>
      <w:r>
        <w:rPr>
          <w:b/>
          <w:bCs/>
        </w:rPr>
        <w:t xml:space="preserve">Zákon 54/2019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 xml:space="preserve">. upravuje </w:t>
      </w:r>
    </w:p>
    <w:p w:rsidR="00E530B2" w:rsidRDefault="00E530B2" w:rsidP="00E530B2">
      <w:pPr>
        <w:pStyle w:val="Default"/>
        <w:spacing w:line="276" w:lineRule="auto"/>
      </w:pP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a) </w:t>
      </w:r>
      <w:r>
        <w:rPr>
          <w:color w:val="484848"/>
        </w:rPr>
        <w:t xml:space="preserve">podmienky poskytovania ochrany osobám v pracovnoprávnom vzťahu alebo v inom obdobnom vzťahu v súvislosti s oznamovaním kriminality alebo inej protispoločenskej činnosti (ďalej len „protispoločenská činnosť“), </w:t>
      </w:r>
    </w:p>
    <w:p w:rsidR="00E530B2" w:rsidRDefault="00E530B2" w:rsidP="00E530B2">
      <w:pPr>
        <w:pStyle w:val="Default"/>
        <w:spacing w:line="276" w:lineRule="auto"/>
      </w:pPr>
    </w:p>
    <w:p w:rsidR="00E530B2" w:rsidRDefault="00E530B2" w:rsidP="00E530B2">
      <w:pPr>
        <w:pStyle w:val="Default"/>
        <w:spacing w:line="276" w:lineRule="auto"/>
      </w:pPr>
      <w:r>
        <w:t xml:space="preserve">b) práva a povinnosti osôb pri oznamovaní protispoločenskej činnosti a </w:t>
      </w:r>
    </w:p>
    <w:p w:rsidR="00E530B2" w:rsidRDefault="00E530B2" w:rsidP="00E530B2">
      <w:pPr>
        <w:pStyle w:val="Default"/>
        <w:spacing w:line="276" w:lineRule="auto"/>
      </w:pPr>
    </w:p>
    <w:p w:rsidR="00E530B2" w:rsidRDefault="00E530B2" w:rsidP="00E530B2">
      <w:pPr>
        <w:pStyle w:val="Default"/>
        <w:spacing w:line="276" w:lineRule="auto"/>
      </w:pPr>
      <w:r>
        <w:t xml:space="preserve">c) </w:t>
      </w:r>
      <w:r>
        <w:rPr>
          <w:color w:val="484848"/>
        </w:rPr>
        <w:t xml:space="preserve">zriadenie, postavenie a pôsobnosť Úradu na ochranu oznamovateľov (ďalej len „úrad“). </w:t>
      </w: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  <w:jc w:val="both"/>
      </w:pPr>
      <w:r>
        <w:rPr>
          <w:b/>
          <w:bCs/>
        </w:rPr>
        <w:t xml:space="preserve">Protispoločenská činnosť </w:t>
      </w:r>
      <w:r>
        <w:t xml:space="preserve">– je konanie, ktoré je trestným činom ako aj konanie, ktoré je priestupkom alebo iným správnym deliktom; za protispoločenskú činnosť sa považuje aj konanie, ktoré nie je priestupkom alebo iným správnym deliktom, ale pôsobí negatívne na spoločnosť. Inak povedané, ide o každé konanie, ktoré pôsobí negatívne na spoločnosť a presahuje záujem jednotlivca. </w:t>
      </w:r>
    </w:p>
    <w:p w:rsidR="00E530B2" w:rsidRDefault="00E530B2" w:rsidP="00E530B2">
      <w:pPr>
        <w:pStyle w:val="Default"/>
        <w:spacing w:line="276" w:lineRule="auto"/>
      </w:pPr>
      <w:r>
        <w:rPr>
          <w:b/>
          <w:bCs/>
        </w:rPr>
        <w:t xml:space="preserve">Protispoločenskú činnosť </w:t>
      </w:r>
      <w:r>
        <w:t xml:space="preserve">chápeme ako konanie, ktoré je trestným činom, priestupkom alebo iným správnym deliktom, alebo pôsobí negatívne na spoločnosť tým, že ohrozuje verejný záujem. </w:t>
      </w:r>
    </w:p>
    <w:p w:rsidR="00E530B2" w:rsidRDefault="00E530B2" w:rsidP="00E530B2">
      <w:pPr>
        <w:pStyle w:val="Default"/>
        <w:spacing w:line="276" w:lineRule="auto"/>
      </w:pPr>
      <w:r>
        <w:t xml:space="preserve">Môže ísť napríklad o toto konanie: </w:t>
      </w:r>
    </w:p>
    <w:p w:rsidR="00E530B2" w:rsidRDefault="00E530B2" w:rsidP="00E530B2">
      <w:pPr>
        <w:pStyle w:val="Default"/>
        <w:spacing w:line="276" w:lineRule="auto"/>
      </w:pPr>
      <w:r>
        <w:t xml:space="preserve">trestný čin poškodzovania finančných záujmov EÚ </w:t>
      </w:r>
    </w:p>
    <w:p w:rsidR="00E530B2" w:rsidRDefault="00E530B2" w:rsidP="00E530B2">
      <w:pPr>
        <w:pStyle w:val="Default"/>
        <w:spacing w:line="276" w:lineRule="auto"/>
      </w:pPr>
      <w:r>
        <w:t xml:space="preserve">trestný čin machinácií pri verejnom obstarávaní a verejnej dražbe </w:t>
      </w:r>
    </w:p>
    <w:p w:rsidR="00E530B2" w:rsidRDefault="00E530B2" w:rsidP="00E530B2">
      <w:pPr>
        <w:pStyle w:val="Default"/>
        <w:spacing w:line="276" w:lineRule="auto"/>
      </w:pPr>
      <w:r>
        <w:t xml:space="preserve">trestné činy verejných činiteľov </w:t>
      </w:r>
    </w:p>
    <w:p w:rsidR="00E530B2" w:rsidRDefault="00E530B2" w:rsidP="00E530B2">
      <w:pPr>
        <w:pStyle w:val="Default"/>
        <w:spacing w:line="276" w:lineRule="auto"/>
      </w:pPr>
      <w:r>
        <w:t xml:space="preserve">trestné činy korupcie </w:t>
      </w:r>
    </w:p>
    <w:p w:rsidR="00E530B2" w:rsidRDefault="00E530B2" w:rsidP="00E530B2">
      <w:pPr>
        <w:pStyle w:val="Default"/>
        <w:spacing w:line="276" w:lineRule="auto"/>
      </w:pPr>
      <w:r>
        <w:t xml:space="preserve">iné trestné činy </w:t>
      </w:r>
    </w:p>
    <w:p w:rsidR="00E530B2" w:rsidRDefault="00E530B2" w:rsidP="00E530B2">
      <w:pPr>
        <w:pStyle w:val="Default"/>
        <w:spacing w:line="276" w:lineRule="auto"/>
      </w:pPr>
      <w:r>
        <w:t xml:space="preserve">priestupky a iné správne delikty </w:t>
      </w: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  <w:jc w:val="both"/>
      </w:pPr>
      <w:r>
        <w:rPr>
          <w:b/>
          <w:bCs/>
        </w:rPr>
        <w:t xml:space="preserve">Oznámenie </w:t>
      </w:r>
      <w:r>
        <w:t xml:space="preserve">je dobromyseľné uvedenie skutočností, ktoré oznamujeme prokuratúre, správnemu orgánu, Úradu na ochranu oznamovateľov alebo svojmu zamestnávateľovi, o ktorých sme sa dozvedeli v súvislosti s výkonom našej práce a týkajú sa protispoločenskej činnosti. </w:t>
      </w:r>
    </w:p>
    <w:p w:rsidR="00E530B2" w:rsidRDefault="00E530B2" w:rsidP="00E530B2">
      <w:pPr>
        <w:pStyle w:val="Default"/>
        <w:spacing w:line="276" w:lineRule="auto"/>
        <w:jc w:val="both"/>
      </w:pPr>
      <w:r>
        <w:rPr>
          <w:b/>
          <w:bCs/>
        </w:rPr>
        <w:t xml:space="preserve">Oznámením </w:t>
      </w:r>
      <w:r>
        <w:t xml:space="preserve">je uvedenie skutočností, o ktorých sa fyzická osoba dozvedela v súvislosti s pracovnoprávnym vzťahom alebo iným obdobným vzťahom a ktoré sa týkajú protispoločenskej činnosti. </w:t>
      </w:r>
    </w:p>
    <w:p w:rsidR="00E530B2" w:rsidRDefault="00E530B2" w:rsidP="00E530B2">
      <w:pPr>
        <w:pStyle w:val="Default"/>
        <w:spacing w:line="276" w:lineRule="auto"/>
        <w:jc w:val="both"/>
      </w:pPr>
      <w:r>
        <w:rPr>
          <w:b/>
          <w:bCs/>
        </w:rPr>
        <w:t xml:space="preserve">Kvalifikovaným oznámením </w:t>
      </w:r>
      <w:r>
        <w:t xml:space="preserve">je oznámenie, ktoré môže prispieť alebo prispelo k objasneniu závažnej protispoločenskej činnosti alebo k zisteniu alebo k usvedčeniu jej páchateľa: </w:t>
      </w: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</w:pPr>
      <w:r>
        <w:rPr>
          <w:b/>
          <w:bCs/>
        </w:rPr>
        <w:t xml:space="preserve">Závažnou protispoločenskou činnosťou </w:t>
      </w:r>
      <w:r>
        <w:t>sa rozumie:</w:t>
      </w:r>
    </w:p>
    <w:p w:rsidR="00E530B2" w:rsidRDefault="00E530B2" w:rsidP="00E530B2">
      <w:pPr>
        <w:pStyle w:val="Default"/>
        <w:spacing w:line="276" w:lineRule="auto"/>
      </w:pPr>
      <w:r>
        <w:t xml:space="preserve"> </w:t>
      </w:r>
    </w:p>
    <w:p w:rsidR="00E530B2" w:rsidRDefault="00E530B2" w:rsidP="00E530B2">
      <w:pPr>
        <w:pStyle w:val="Default"/>
        <w:spacing w:line="276" w:lineRule="auto"/>
        <w:rPr>
          <w:rFonts w:eastAsia="Times New Roman"/>
          <w:bCs/>
        </w:rPr>
      </w:pPr>
      <w:r>
        <w:t xml:space="preserve">1. trestné činy podľa </w:t>
      </w:r>
      <w:r>
        <w:rPr>
          <w:b/>
          <w:bCs/>
          <w:i/>
          <w:iCs/>
          <w:color w:val="5F1675"/>
        </w:rPr>
        <w:t>§ 168</w:t>
      </w:r>
      <w:r>
        <w:t xml:space="preserve">, </w:t>
      </w:r>
      <w:r>
        <w:rPr>
          <w:b/>
          <w:bCs/>
          <w:i/>
          <w:iCs/>
          <w:color w:val="5F1675"/>
        </w:rPr>
        <w:t>§ 170</w:t>
      </w:r>
      <w:r>
        <w:t xml:space="preserve">, </w:t>
      </w:r>
      <w:r>
        <w:rPr>
          <w:b/>
          <w:bCs/>
          <w:i/>
          <w:iCs/>
          <w:color w:val="5F1675"/>
        </w:rPr>
        <w:t>§ 170b</w:t>
      </w:r>
      <w:r>
        <w:t xml:space="preserve">, </w:t>
      </w:r>
      <w:r>
        <w:rPr>
          <w:b/>
          <w:bCs/>
          <w:i/>
          <w:iCs/>
          <w:color w:val="5F1675"/>
        </w:rPr>
        <w:t>§ 177</w:t>
      </w:r>
      <w:r>
        <w:t xml:space="preserve">, </w:t>
      </w:r>
      <w:r>
        <w:rPr>
          <w:b/>
          <w:bCs/>
          <w:i/>
          <w:iCs/>
          <w:color w:val="5F1675"/>
        </w:rPr>
        <w:t>§ 212</w:t>
      </w:r>
      <w:r>
        <w:t xml:space="preserve">, </w:t>
      </w:r>
      <w:r>
        <w:rPr>
          <w:b/>
          <w:bCs/>
          <w:i/>
          <w:iCs/>
          <w:color w:val="5F1675"/>
        </w:rPr>
        <w:t>§ 213</w:t>
      </w:r>
      <w:r>
        <w:t xml:space="preserve">, </w:t>
      </w:r>
      <w:r>
        <w:rPr>
          <w:b/>
          <w:bCs/>
          <w:i/>
          <w:iCs/>
          <w:color w:val="5F1675"/>
        </w:rPr>
        <w:t>§ 217</w:t>
      </w:r>
      <w:r>
        <w:t xml:space="preserve">, </w:t>
      </w:r>
      <w:r>
        <w:rPr>
          <w:b/>
          <w:bCs/>
          <w:i/>
          <w:iCs/>
          <w:color w:val="5F1675"/>
        </w:rPr>
        <w:t>§ 221</w:t>
      </w:r>
      <w:r>
        <w:t xml:space="preserve">, </w:t>
      </w:r>
      <w:r>
        <w:rPr>
          <w:b/>
          <w:bCs/>
          <w:i/>
          <w:iCs/>
          <w:color w:val="5F1675"/>
        </w:rPr>
        <w:t>§ 226</w:t>
      </w:r>
      <w:r>
        <w:t xml:space="preserve">, </w:t>
      </w:r>
      <w:r>
        <w:rPr>
          <w:b/>
          <w:bCs/>
          <w:i/>
          <w:iCs/>
          <w:color w:val="5F1675"/>
        </w:rPr>
        <w:t>§ 233a</w:t>
      </w:r>
      <w:r>
        <w:t xml:space="preserve">, </w:t>
      </w:r>
      <w:r>
        <w:rPr>
          <w:b/>
          <w:bCs/>
          <w:i/>
          <w:iCs/>
          <w:color w:val="5F1675"/>
        </w:rPr>
        <w:t>§ 237 až 240</w:t>
      </w:r>
      <w:r>
        <w:t xml:space="preserve">, </w:t>
      </w:r>
      <w:r>
        <w:rPr>
          <w:b/>
          <w:bCs/>
          <w:i/>
          <w:iCs/>
          <w:color w:val="5F1675"/>
        </w:rPr>
        <w:t>§ 243</w:t>
      </w:r>
      <w:r>
        <w:t xml:space="preserve">, </w:t>
      </w:r>
      <w:r>
        <w:rPr>
          <w:b/>
          <w:bCs/>
          <w:i/>
          <w:iCs/>
          <w:color w:val="5F1675"/>
        </w:rPr>
        <w:t>§ 243a</w:t>
      </w:r>
      <w:r>
        <w:t xml:space="preserve">, </w:t>
      </w:r>
      <w:r>
        <w:rPr>
          <w:b/>
          <w:bCs/>
          <w:i/>
          <w:iCs/>
          <w:color w:val="5F1675"/>
        </w:rPr>
        <w:t>§ 247</w:t>
      </w:r>
      <w:r>
        <w:t xml:space="preserve">, </w:t>
      </w:r>
      <w:r>
        <w:rPr>
          <w:b/>
          <w:bCs/>
          <w:i/>
          <w:iCs/>
          <w:color w:val="5F1675"/>
        </w:rPr>
        <w:t>§ 247d</w:t>
      </w:r>
      <w:r>
        <w:t xml:space="preserve">, </w:t>
      </w:r>
      <w:r>
        <w:rPr>
          <w:b/>
          <w:bCs/>
          <w:i/>
          <w:iCs/>
          <w:color w:val="5F1675"/>
        </w:rPr>
        <w:t>§ 251a</w:t>
      </w:r>
      <w:r>
        <w:t xml:space="preserve">, </w:t>
      </w:r>
      <w:r>
        <w:rPr>
          <w:b/>
          <w:bCs/>
          <w:i/>
          <w:iCs/>
          <w:color w:val="5F1675"/>
        </w:rPr>
        <w:t>§ 252 až 254</w:t>
      </w:r>
      <w:r>
        <w:t xml:space="preserve">, </w:t>
      </w:r>
      <w:r>
        <w:rPr>
          <w:b/>
          <w:bCs/>
          <w:i/>
          <w:iCs/>
          <w:color w:val="5F1675"/>
        </w:rPr>
        <w:t>§ 261 až 263</w:t>
      </w:r>
      <w:r>
        <w:t xml:space="preserve">, </w:t>
      </w:r>
      <w:r>
        <w:rPr>
          <w:b/>
          <w:bCs/>
          <w:i/>
          <w:iCs/>
          <w:color w:val="5F1675"/>
        </w:rPr>
        <w:t>§ 266 až 268</w:t>
      </w:r>
      <w:r>
        <w:t xml:space="preserve">, </w:t>
      </w:r>
      <w:r>
        <w:rPr>
          <w:b/>
          <w:bCs/>
          <w:i/>
          <w:iCs/>
          <w:color w:val="5F1675"/>
        </w:rPr>
        <w:t xml:space="preserve">§ </w:t>
      </w:r>
      <w:r>
        <w:rPr>
          <w:b/>
          <w:bCs/>
          <w:i/>
          <w:iCs/>
          <w:color w:val="5F1675"/>
        </w:rPr>
        <w:lastRenderedPageBreak/>
        <w:t>271</w:t>
      </w:r>
      <w:r>
        <w:t xml:space="preserve">, </w:t>
      </w:r>
      <w:r>
        <w:rPr>
          <w:b/>
          <w:bCs/>
          <w:i/>
          <w:iCs/>
          <w:color w:val="5F1675"/>
        </w:rPr>
        <w:t>§ 278a</w:t>
      </w:r>
      <w:r>
        <w:t xml:space="preserve">, </w:t>
      </w:r>
      <w:r>
        <w:rPr>
          <w:b/>
          <w:bCs/>
          <w:i/>
          <w:iCs/>
          <w:color w:val="5F1675"/>
        </w:rPr>
        <w:t>§ 283</w:t>
      </w:r>
      <w:r>
        <w:t xml:space="preserve">, </w:t>
      </w:r>
      <w:r>
        <w:rPr>
          <w:b/>
          <w:bCs/>
          <w:i/>
          <w:iCs/>
          <w:color w:val="5F1675"/>
        </w:rPr>
        <w:t>§ 299a</w:t>
      </w:r>
      <w:r>
        <w:t xml:space="preserve">, </w:t>
      </w:r>
      <w:r>
        <w:rPr>
          <w:b/>
          <w:bCs/>
          <w:i/>
          <w:iCs/>
          <w:color w:val="5F1675"/>
        </w:rPr>
        <w:t>§ 302</w:t>
      </w:r>
      <w:r>
        <w:t xml:space="preserve">, </w:t>
      </w:r>
      <w:r>
        <w:rPr>
          <w:b/>
          <w:bCs/>
          <w:i/>
          <w:iCs/>
          <w:color w:val="5F1675"/>
        </w:rPr>
        <w:t>§ 305</w:t>
      </w:r>
      <w:r>
        <w:t xml:space="preserve">, </w:t>
      </w:r>
      <w:r>
        <w:rPr>
          <w:b/>
          <w:bCs/>
          <w:i/>
          <w:iCs/>
          <w:color w:val="5F1675"/>
        </w:rPr>
        <w:t>§ 326 až 327a</w:t>
      </w:r>
      <w:r>
        <w:t xml:space="preserve">, </w:t>
      </w:r>
      <w:r>
        <w:rPr>
          <w:b/>
          <w:bCs/>
          <w:i/>
          <w:iCs/>
          <w:color w:val="5F1675"/>
        </w:rPr>
        <w:t>§ 328 až 336b</w:t>
      </w:r>
      <w:r>
        <w:t xml:space="preserve">, </w:t>
      </w:r>
      <w:r>
        <w:rPr>
          <w:b/>
          <w:bCs/>
          <w:i/>
          <w:iCs/>
          <w:color w:val="5F1675"/>
        </w:rPr>
        <w:t>§ 336d</w:t>
      </w:r>
      <w:r>
        <w:t xml:space="preserve">, </w:t>
      </w:r>
      <w:r>
        <w:rPr>
          <w:b/>
          <w:bCs/>
          <w:i/>
          <w:iCs/>
          <w:color w:val="5F1675"/>
        </w:rPr>
        <w:t>§ 348</w:t>
      </w:r>
      <w:r>
        <w:t xml:space="preserve">, </w:t>
      </w:r>
      <w:r>
        <w:rPr>
          <w:b/>
          <w:bCs/>
          <w:i/>
          <w:iCs/>
          <w:color w:val="5F1675"/>
        </w:rPr>
        <w:t xml:space="preserve">§ 352a </w:t>
      </w:r>
      <w:r>
        <w:t xml:space="preserve">alebo </w:t>
      </w:r>
      <w:r>
        <w:rPr>
          <w:b/>
          <w:bCs/>
          <w:i/>
          <w:iCs/>
          <w:color w:val="5F1675"/>
        </w:rPr>
        <w:t xml:space="preserve">§ 374 </w:t>
      </w:r>
      <w:r>
        <w:t>Trestného zákona, (viď príloha)</w:t>
      </w:r>
    </w:p>
    <w:p w:rsidR="00E530B2" w:rsidRDefault="00E530B2" w:rsidP="00E530B2">
      <w:pPr>
        <w:pStyle w:val="Default"/>
        <w:spacing w:line="276" w:lineRule="auto"/>
      </w:pPr>
      <w:r>
        <w:t xml:space="preserve">2. Trestný čin, za ktorý </w:t>
      </w:r>
      <w:r>
        <w:rPr>
          <w:b/>
          <w:bCs/>
          <w:i/>
          <w:iCs/>
          <w:color w:val="5F1675"/>
        </w:rPr>
        <w:t xml:space="preserve">Trestný zákon </w:t>
      </w:r>
      <w:r>
        <w:t xml:space="preserve">ustanovuje trest odňatia slobody s hornou hranicou trestnej sadzby prevyšujúcou dva roky, </w:t>
      </w:r>
    </w:p>
    <w:p w:rsidR="00E530B2" w:rsidRDefault="00E530B2" w:rsidP="00E530B2">
      <w:pPr>
        <w:pStyle w:val="Default"/>
        <w:spacing w:line="276" w:lineRule="auto"/>
      </w:pPr>
      <w:r>
        <w:t xml:space="preserve">3. správny delikt, za ktorý možno uložiť pokutu s hornou hranicou určenou výpočtom, alebo </w:t>
      </w:r>
    </w:p>
    <w:p w:rsidR="00E530B2" w:rsidRDefault="00E530B2" w:rsidP="00E530B2">
      <w:pPr>
        <w:pStyle w:val="Default"/>
        <w:spacing w:line="276" w:lineRule="auto"/>
      </w:pPr>
      <w:r>
        <w:t xml:space="preserve">4. správny delikt, za ktorý možno uložiť pokutu s hornou hranicou vo výške najmenej 30 000 eur, </w:t>
      </w:r>
    </w:p>
    <w:p w:rsidR="00E530B2" w:rsidRDefault="00E530B2" w:rsidP="00E530B2">
      <w:pPr>
        <w:pStyle w:val="Default"/>
        <w:spacing w:line="276" w:lineRule="auto"/>
        <w:rPr>
          <w:b/>
          <w:bCs/>
        </w:rPr>
      </w:pPr>
    </w:p>
    <w:p w:rsidR="00E530B2" w:rsidRDefault="00E530B2" w:rsidP="00E530B2">
      <w:pPr>
        <w:pStyle w:val="Default"/>
        <w:spacing w:line="276" w:lineRule="auto"/>
        <w:jc w:val="both"/>
      </w:pPr>
      <w:r>
        <w:rPr>
          <w:b/>
          <w:bCs/>
        </w:rPr>
        <w:t xml:space="preserve">Oznamovateľom </w:t>
      </w:r>
      <w:r>
        <w:t xml:space="preserve">je fyzická osoba, ktorá </w:t>
      </w:r>
      <w:r>
        <w:rPr>
          <w:b/>
          <w:bCs/>
        </w:rPr>
        <w:t xml:space="preserve">v dobrej viere </w:t>
      </w:r>
      <w:r>
        <w:t xml:space="preserve">urobí oznámenie orgánu príslušnému na prijatie oznámenia alebo zamestnávateľovi; za oznamovateľa sa považuje aj fyzická osoba, ktorá v dobrej viere: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1. urobí oznámenie a jej pracovnoprávny vzťah alebo iný obdobný vzťah sa skončil, ak sa dozvedela informácie o protispoločenskej činnosti počas trvania tohto pracovnoprávneho vzťahu alebo iného obdobného vzťahu,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2. urobí oznámenie a jej pracovnoprávny vzťah alebo iný obdobný vzťah ešte nevznikol, ak sa dozvedela informácie o protispoločenskej činnosti počas výberového konania alebo v rámci predzmluvných vzťahov,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3. urobila oznámenie anonymne a jej totožnosť bola odhalená, </w:t>
      </w:r>
    </w:p>
    <w:p w:rsidR="00E530B2" w:rsidRDefault="00E530B2" w:rsidP="00E530B2">
      <w:pPr>
        <w:pStyle w:val="Default"/>
        <w:spacing w:line="276" w:lineRule="auto"/>
        <w:jc w:val="both"/>
      </w:pPr>
      <w:r>
        <w:t>4. zverejnila informácie o protispoločenskej činnosti,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z dôvodu, že:</w:t>
      </w:r>
    </w:p>
    <w:p w:rsidR="00E530B2" w:rsidRDefault="00E530B2" w:rsidP="00E530B2">
      <w:pPr>
        <w:pStyle w:val="Default"/>
        <w:spacing w:line="276" w:lineRule="auto"/>
        <w:ind w:firstLine="720"/>
        <w:jc w:val="both"/>
      </w:pPr>
      <w:r>
        <w:t xml:space="preserve">4a. urobila oznámenie prostredníctvom vnútorného systému preverovania oznámení a nebola oboznámená s výsledkom preverenia podľa </w:t>
      </w:r>
      <w:r>
        <w:rPr>
          <w:b/>
          <w:bCs/>
          <w:i/>
          <w:iCs/>
        </w:rPr>
        <w:t>§ 10 ods. 8</w:t>
      </w:r>
      <w:r>
        <w:t xml:space="preserve">, alebo neboli prijaté vhodné opatrenia podľa </w:t>
      </w:r>
      <w:r>
        <w:rPr>
          <w:b/>
          <w:bCs/>
          <w:i/>
          <w:iCs/>
        </w:rPr>
        <w:t xml:space="preserve">§ 10 ods. 8 </w:t>
      </w:r>
      <w:r>
        <w:t xml:space="preserve">a následne urobila takéto oznámenie orgánu príslušnému na prijatie oznámenia a nebola v primeranej lehote oboznámená so stavom preverovania alebo s výsledkom preverenia, </w:t>
      </w:r>
    </w:p>
    <w:p w:rsidR="00E530B2" w:rsidRDefault="00E530B2" w:rsidP="00E530B2">
      <w:pPr>
        <w:pStyle w:val="Default"/>
        <w:spacing w:line="276" w:lineRule="auto"/>
        <w:ind w:firstLine="720"/>
        <w:jc w:val="both"/>
      </w:pPr>
      <w:r>
        <w:t xml:space="preserve">4b. urobila oznámenie orgánu príslušnému na prijatie oznámenia a nebola v primeranej lehote oboznámená so stavom preverovania alebo s výsledkom preverenia, </w:t>
      </w:r>
    </w:p>
    <w:p w:rsidR="00E530B2" w:rsidRDefault="00E530B2" w:rsidP="00E530B2">
      <w:pPr>
        <w:pStyle w:val="Default"/>
        <w:spacing w:line="276" w:lineRule="auto"/>
        <w:ind w:firstLine="720"/>
        <w:jc w:val="both"/>
      </w:pPr>
      <w:r>
        <w:t xml:space="preserve">4c. je dôvodná obava, že protispoločenská činnosť môže predstavovať bezprostredné alebo zjavné ohrozenie verejného záujmu, alebo </w:t>
      </w:r>
    </w:p>
    <w:p w:rsidR="00E530B2" w:rsidRDefault="00E530B2" w:rsidP="00E530B2">
      <w:pPr>
        <w:pStyle w:val="Default"/>
        <w:spacing w:line="276" w:lineRule="auto"/>
        <w:ind w:firstLine="720"/>
        <w:jc w:val="both"/>
      </w:pPr>
      <w:r>
        <w:t>4d. je dôvodná obava, že v prípade urobenia oznámenia orgánu príslušnému na prijatie oznámenia by jej hrozil postih alebo vzhľadom na konkrétne okolnosti prípadu hrozí, že orgány na prijatie oznámenia nezabezpečia nestranné a nezávislé preverenie skutočností uvedených v oznámení.</w:t>
      </w:r>
    </w:p>
    <w:p w:rsidR="00E530B2" w:rsidRDefault="00E530B2" w:rsidP="00E530B2">
      <w:pPr>
        <w:pStyle w:val="Default"/>
        <w:spacing w:line="276" w:lineRule="auto"/>
        <w:ind w:firstLine="720"/>
        <w:jc w:val="both"/>
      </w:pPr>
      <w:r>
        <w:t xml:space="preserve"> </w:t>
      </w:r>
    </w:p>
    <w:p w:rsidR="00E530B2" w:rsidRDefault="00E530B2" w:rsidP="00E530B2">
      <w:pPr>
        <w:pStyle w:val="Default"/>
        <w:spacing w:line="276" w:lineRule="auto"/>
        <w:jc w:val="both"/>
      </w:pPr>
      <w:r>
        <w:rPr>
          <w:b/>
          <w:bCs/>
        </w:rPr>
        <w:t xml:space="preserve">Zodpovednú osobu </w:t>
      </w:r>
      <w:r>
        <w:t xml:space="preserve">chápeme ako osobu plniacu úlohy, ktoré vyplývajú zamestnávateľovi zo zákona o ochrane oznamovateľov protispoločenskej činnosti. To znamená, že prijíma, eviduje a preveruje oznámenia o protispoločenskej činnosti zamestnancov. </w:t>
      </w:r>
    </w:p>
    <w:p w:rsidR="00E530B2" w:rsidRDefault="00E530B2" w:rsidP="00E530B2">
      <w:pPr>
        <w:pStyle w:val="Default"/>
        <w:spacing w:line="276" w:lineRule="auto"/>
        <w:jc w:val="both"/>
      </w:pPr>
    </w:p>
    <w:p w:rsidR="00E530B2" w:rsidRDefault="00E530B2" w:rsidP="00E530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Konflikt záujmov </w:t>
      </w:r>
      <w:r>
        <w:rPr>
          <w:rFonts w:ascii="Times New Roman" w:hAnsi="Times New Roman" w:cs="Times New Roman"/>
          <w:sz w:val="24"/>
          <w:szCs w:val="24"/>
        </w:rPr>
        <w:t>je situácia, keď súkromný záujem môže vplývať na nezávislé plnenie úloh vykonávaných vo verejnom záujme. Teda situácie, ktoré môžu ohroziť nestrannosť a nezávislosť v rozhodovaní, a tým aj reputáciu či finančné zdravie organizácie.</w:t>
      </w: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Článok III.</w:t>
      </w: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Zodpovedná osoba</w:t>
      </w: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jc w:val="both"/>
      </w:pPr>
      <w:r>
        <w:rPr>
          <w:sz w:val="23"/>
          <w:szCs w:val="23"/>
        </w:rPr>
        <w:t>1</w:t>
      </w:r>
      <w:r>
        <w:t xml:space="preserve">. Na základe ustanovenia § 10 ods. 1 a 2 zákona o ochrane oznamovateľov protispoločenskej činnosti plní úlohy zodpovednej osoby v Centre poradenstva a prevencie, Námestie slobody 1657/13, Púchov zamestnanec : Mgr. Paulína Hruštíncová.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2. Označenie zodpovednej osoby a spôsoby podávania oznámení sú zverejnené aj na webovom sídle zamestnávateľa.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3. Zodpovedná osoba, ktorá plní úlohy zamestnávateľa podľa odsekov 5 až 8 a § 11 ods. 1 (ďalej len „zodpovedná osoba“), je povinná preverovať oznámenia s Hlavným kontrolórom zriaďovateľa. </w:t>
      </w:r>
    </w:p>
    <w:p w:rsidR="00E530B2" w:rsidRDefault="00E530B2" w:rsidP="00E530B2">
      <w:pPr>
        <w:pStyle w:val="Default"/>
        <w:spacing w:line="276" w:lineRule="auto"/>
        <w:jc w:val="both"/>
      </w:pPr>
    </w:p>
    <w:p w:rsidR="00E530B2" w:rsidRDefault="00E530B2" w:rsidP="00E530B2">
      <w:pPr>
        <w:pStyle w:val="Default"/>
        <w:spacing w:line="276" w:lineRule="auto"/>
        <w:jc w:val="both"/>
      </w:pPr>
    </w:p>
    <w:p w:rsidR="00E530B2" w:rsidRDefault="00E530B2" w:rsidP="00E530B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Článok IV.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Podávanie a prijímanie oznámení</w:t>
      </w:r>
    </w:p>
    <w:p w:rsidR="00E530B2" w:rsidRDefault="00E530B2" w:rsidP="00E530B2">
      <w:pPr>
        <w:pStyle w:val="Default"/>
        <w:spacing w:line="276" w:lineRule="auto"/>
        <w:jc w:val="center"/>
      </w:pP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1. Oznámenie možno podať </w:t>
      </w:r>
      <w:r>
        <w:rPr>
          <w:b/>
          <w:bCs/>
        </w:rPr>
        <w:t>písomne</w:t>
      </w:r>
      <w:r>
        <w:t xml:space="preserve">, </w:t>
      </w:r>
      <w:r>
        <w:rPr>
          <w:b/>
          <w:bCs/>
        </w:rPr>
        <w:t xml:space="preserve">ústne </w:t>
      </w:r>
      <w:r>
        <w:t xml:space="preserve">alebo </w:t>
      </w:r>
      <w:r>
        <w:rPr>
          <w:b/>
          <w:bCs/>
        </w:rPr>
        <w:t>elektronickou poštou</w:t>
      </w:r>
      <w:r>
        <w:t xml:space="preserve">.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2. </w:t>
      </w:r>
      <w:r>
        <w:rPr>
          <w:b/>
          <w:bCs/>
        </w:rPr>
        <w:t xml:space="preserve">Písomne </w:t>
      </w:r>
      <w:r>
        <w:t>- v uzatvorenej obálke s označením „</w:t>
      </w:r>
      <w:r>
        <w:rPr>
          <w:b/>
          <w:bCs/>
        </w:rPr>
        <w:t>Neotvárať – do rúk zodpovednej osoby</w:t>
      </w:r>
      <w:r>
        <w:t xml:space="preserve">“, a to priamo do rúk zodpovednej osoby, alebo poštou na adresu: Centrum poradenstva a prevencie, Námestie slobody 1657/13, Púchov 020 01. Zamestnanec centra, poverený prijímaním poštových zásielok nie je oprávnený obálku s takýmto označením otvárať a je povinný ju bez zbytočného odkladu postúpiť zodpovednej osobe. </w:t>
      </w: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3. </w:t>
      </w:r>
      <w:r>
        <w:rPr>
          <w:b/>
          <w:bCs/>
        </w:rPr>
        <w:t xml:space="preserve">Ústne </w:t>
      </w:r>
      <w:r>
        <w:t xml:space="preserve">- osobne do záznamu zodpovednej osoby v centre, ktorá o ňom vyhotoví zápisnicu. </w:t>
      </w:r>
    </w:p>
    <w:p w:rsidR="00E530B2" w:rsidRDefault="00E530B2" w:rsidP="00E530B2">
      <w:pPr>
        <w:pStyle w:val="Nadpis3"/>
        <w:shd w:val="clear" w:color="auto" w:fill="FFFFFF"/>
        <w:spacing w:line="300" w:lineRule="atLeast"/>
      </w:pPr>
      <w:r>
        <w:rPr>
          <w:rFonts w:eastAsia="Calibri"/>
          <w:b w:val="0"/>
          <w:bCs w:val="0"/>
          <w:color w:val="000000"/>
          <w:sz w:val="24"/>
          <w:szCs w:val="24"/>
        </w:rPr>
        <w:t>4</w:t>
      </w:r>
      <w:r>
        <w:t>.</w:t>
      </w:r>
      <w:r>
        <w:rPr>
          <w:rFonts w:eastAsia="Calibri"/>
          <w:color w:val="000000"/>
          <w:sz w:val="24"/>
          <w:szCs w:val="24"/>
        </w:rPr>
        <w:t>Elektronickou poštou</w:t>
      </w:r>
      <w:r>
        <w:rPr>
          <w:b w:val="0"/>
          <w:bCs w:val="0"/>
        </w:rPr>
        <w:t xml:space="preserve"> – </w:t>
      </w:r>
      <w:r>
        <w:rPr>
          <w:rFonts w:eastAsia="Calibri"/>
          <w:b w:val="0"/>
          <w:bCs w:val="0"/>
          <w:color w:val="000000"/>
          <w:sz w:val="24"/>
          <w:szCs w:val="24"/>
        </w:rPr>
        <w:t>na e-mailovú adresu zodpovednej osoby:</w:t>
      </w:r>
      <w:r>
        <w:t xml:space="preserve"> </w:t>
      </w:r>
      <w:hyperlink r:id="rId6" w:history="1">
        <w:r>
          <w:rPr>
            <w:rStyle w:val="Hypertextovprepojenie"/>
            <w:b w:val="0"/>
          </w:rPr>
          <w:t>nahlasovanie.poradnapu@gmail.com</w:t>
        </w:r>
      </w:hyperlink>
      <w:r>
        <w:rPr>
          <w:b w:val="0"/>
        </w:rPr>
        <w:t xml:space="preserve"> .</w:t>
      </w:r>
      <w:r>
        <w:rPr>
          <w:rFonts w:eastAsia="Calibri"/>
          <w:b w:val="0"/>
          <w:bCs w:val="0"/>
          <w:color w:val="000000"/>
          <w:sz w:val="24"/>
          <w:szCs w:val="24"/>
        </w:rPr>
        <w:t>Táto e-mailová adresa je dostupná 24 hodín denne.</w:t>
      </w:r>
      <w:r>
        <w:rPr>
          <w:b w:val="0"/>
          <w:bCs w:val="0"/>
        </w:rPr>
        <w:t xml:space="preserve"> </w:t>
      </w: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Článok V.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Preverovanie oznámení, oprávnenia zodpovednej osoby pri preverovaní oznámení, evidovanie oznámení a oboznamovanie oznamovateľa                            s výsledkom preverenia 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Zodpovedná osoba je povinná prijať a preveriť každé oznámenie.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 preverovaní oznámenia zodpovedná osoba vychádza z jeho obsahu, bez ohľadu na jeho označenie.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 z obsahu podania vyplýva, že nejde o oznámenie podľa zákona, ale na vybavenie podania je príslušný iný orgán, zodpovedná osoba podanie bezodkladne postúpi tomuto orgánu. O postúpení podania zodpovedná osoba informuje podávateľa podania, pokiaľ nejde o anonymné podanie.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Ak z obsahu podania vyplýva, že oznámením je iba časť podania, preverí sa len príslušná časť podania. Ostatné časti podania, zodpovedná osoba bezodkladne postúpi orgánu príslušnému na vybavenie a budú vybavené podľa príslušnej právnej úpravy (napr. sťažnosť podľa zákona č. 9/2010 Z. z. o sťažnostiach). O postúpení podania zodpovedná osoba informuje podávateľa podania, pokiaľ nejde o anonymné podanie.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Zodpovedná osoba je povinná preveriť oznámenie najneskôr do 90 dní od jeho prijatia. V odôvodnených prípadoch môže zodpovedná osoba túto lehotu predĺžiť o ďalších 30 dní. O tejto skutočnosti, ako aj o dôvodoch predĺženia lehoty je povinná bezodkladne informovať oznamovateľa, pokiaľ nejde o anonymné oznámenie.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prípade potreby doplnenia alebo upresnenia údajov uvedených v oznámení zodpovedná osoba bez zbytočného odkladu vyzve oznamovateľa na jeho doplnenie, alebo upresnenie s určením primeranej lehoty na uskutočnenie tohto úkonu. Zodpovedná osoba je oprávnená žiadať oznamovateľa o poskytnutie súčinnosti pri preverení oznámenia.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žiadosť zodpovednej osoby sú zamestnanci a štatutárny orgán zamestnávateľa povinní poskytnúť doklady, iné písomnosti, vyjadrenia, informácie, údaje potrebné na preverenie oznámenia, ako aj ďalšiu nevyhnutnú súčinnosť pri vybavovaní oznámenia.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Zodpovedná osoba je povinná zachovávať mlčanlivosť o totožnosti oznamovateľa.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 preverovaní oznámenia zodpovedná osoba používa jeho odpis, alebo ak je to možné, jeho kópiu, bez uvedenia údajov, ktoré by identifikovali podávateľa oznámenia.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Pokiaľ oznámenie smeruje voči konkrétnemu zamestnancovi alebo štatutárnemu orgánu zamestnávateľa, zodpovedná osoba oboznámi dotknutého zamestnanca, alebo štatutárny orgán zamestnávateľa s informáciami uvedenými v oznámení a umožní im vyjadriť sa k nemu, ako aj predložiť doklady, písomnosti či iné informácie potrebné na spoľahlivé preverenie veci.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V prípade, že z obsahu oznámenia, alebo z informácií, ktoré sú obsahom oznámenia, možno zistiť totožnosť podávateľa oznámenia, zodpovedná osoba s takýmito informáciami dotknutého zamestnanca ani štatutárny orgán zamestnávateľa neoboznámi, ale vyzve ho len na uvedenie, resp. predloženie skutočností nevyhnutných na spoľahlivé preverenie oznámenia-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výsledku preverenia oznámenia spíše zodpovedná osoba písomnú správu o výsledku preverenia oznámenia, v ktorej zhrnie skutočnosti, ktoré uvádza oznamovateľ a zároveň sa vyjadrí ku každej skutočnosti, a to z hľadiska preverenia pravdivosti tvrdených skutočností a z hľadiska posúdenia ich právnej relevancie vo vzťahu k možnému naplneniu prvku protiprávnosti.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Zodpovedná osoba je povinná oboznámiť oznamovateľa s výsledkom preverenia oznámenia a opatreniami, ak sa prijali na základe preverenia oznámenia, najneskôr do desiatich dní od preverenia oznámenia. </w:t>
      </w:r>
    </w:p>
    <w:p w:rsidR="00E530B2" w:rsidRDefault="00E530B2" w:rsidP="00E530B2">
      <w:pPr>
        <w:pStyle w:val="Default"/>
        <w:numPr>
          <w:ilvl w:val="0"/>
          <w:numId w:val="2"/>
        </w:numPr>
        <w:spacing w:line="276" w:lineRule="auto"/>
        <w:ind w:left="360"/>
        <w:jc w:val="both"/>
      </w:pPr>
      <w:r>
        <w:t>Oznámenie je vybavené oboznámením oznamovateľa s výsledkom preverenia oznámenia a opatreniami, ak boli prijaté na základe preverenia oznámenia, prípadne oboznámením oznamovateľa s výsledkom vybavenia oznámenia postúpeného na vybavenie podľa Trestného poriadku, alebo osobitných predpisov, zaslaného zodpovednej osobe od príslušného orgánu na jej žiadosť.</w:t>
      </w: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Článok VI. 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Evidovanie oznámení a spracúvanie osobných údajov uvedených v oznámení </w:t>
      </w:r>
    </w:p>
    <w:p w:rsidR="00E530B2" w:rsidRDefault="00E530B2" w:rsidP="00E530B2">
      <w:pPr>
        <w:pStyle w:val="Default"/>
        <w:spacing w:line="276" w:lineRule="auto"/>
        <w:rPr>
          <w:sz w:val="27"/>
          <w:szCs w:val="27"/>
        </w:rPr>
      </w:pPr>
    </w:p>
    <w:p w:rsidR="00E530B2" w:rsidRDefault="00E530B2" w:rsidP="00E530B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Evidenciu oznámení o protispoločenskej činnosti vedie v zákonom určenom rozsahu zodpovedná osoba v osobitnej dokumentačnej zložke po dobu 3 rokov odo dňa doručenia oznámenia o protispoločenskej činnosti. </w:t>
      </w:r>
    </w:p>
    <w:p w:rsidR="00E530B2" w:rsidRDefault="00E530B2" w:rsidP="00E530B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Zodpovedná osoba je povinná viesť evidenciu podnetov, v ktorej zaznamenáva nasledujúce údaje: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  <w:r>
        <w:t xml:space="preserve">a. dátum doručenia oznámenia,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  <w:r>
        <w:t xml:space="preserve">b. meno, priezvisko a pobyt oznamovateľa,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  <w:r>
        <w:t xml:space="preserve">c. predmet oznámenia,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  <w:r>
        <w:t xml:space="preserve">d. výsledok preverenia oznámenia,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  <w:r>
        <w:t xml:space="preserve">e. dátum skončenia preverenia oznámenia. </w:t>
      </w:r>
    </w:p>
    <w:p w:rsidR="00E530B2" w:rsidRDefault="00E530B2" w:rsidP="00E530B2">
      <w:pPr>
        <w:pStyle w:val="Default"/>
        <w:spacing w:line="276" w:lineRule="auto"/>
        <w:ind w:left="360"/>
        <w:jc w:val="both"/>
      </w:pPr>
      <w:r>
        <w:t xml:space="preserve">f. dátum a spôsob oboznámenia oznamovateľa oznámenia s výsledkom preverenia. </w:t>
      </w:r>
    </w:p>
    <w:p w:rsidR="00E530B2" w:rsidRDefault="00E530B2" w:rsidP="00E530B2">
      <w:pPr>
        <w:pStyle w:val="Default"/>
        <w:spacing w:line="276" w:lineRule="auto"/>
        <w:jc w:val="both"/>
        <w:rPr>
          <w:sz w:val="23"/>
          <w:szCs w:val="23"/>
        </w:rPr>
      </w:pPr>
    </w:p>
    <w:p w:rsidR="00E530B2" w:rsidRDefault="00E530B2" w:rsidP="00E530B2">
      <w:pPr>
        <w:pStyle w:val="Default"/>
        <w:spacing w:line="276" w:lineRule="auto"/>
        <w:jc w:val="both"/>
      </w:pPr>
      <w:r>
        <w:t xml:space="preserve">Vyššie uvedené osobné údaje dotknutej osoby sa spracúvajú v súlade s čl. 6 ods. 1 písm. c) NARIADENIA EURÓPSKEHO PARLAMENTU A RADY (EÚ) 2016/679 z 27. apríla 2016 o ochrane fyzických osôb pri spracúvaní osobných údajov a o voľnom pohybe takýchto údajov, ktorým sa zrušuje smernica 95/46/ES (všeobecné nariadenie o ochrane údajov), resp. v súlade s </w:t>
      </w:r>
      <w:proofErr w:type="spellStart"/>
      <w:r>
        <w:t>ust</w:t>
      </w:r>
      <w:proofErr w:type="spellEnd"/>
      <w:r>
        <w:t xml:space="preserve">. § 13 ods. 1 písm. c) zákona č. 18/2018 Z. z. o ochrane osobných údajov a o zmene a doplnení niektorých zákonov. </w:t>
      </w:r>
    </w:p>
    <w:p w:rsidR="00E530B2" w:rsidRDefault="00E530B2" w:rsidP="00E530B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Každé novoprijaté oznámenie je zodpovedná osoba povinná bezodkladne zaevidovať v evidencii oznámení pod číslom oznámenia, ktorý pozostáva z poradového čísla jeho doručenia a roku doručenia.</w:t>
      </w:r>
    </w:p>
    <w:p w:rsidR="00E530B2" w:rsidRDefault="00E530B2" w:rsidP="00E530B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Článok VI. </w:t>
      </w:r>
    </w:p>
    <w:p w:rsidR="00E530B2" w:rsidRDefault="00E530B2" w:rsidP="00E530B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Záverečné ustanovenia </w:t>
      </w:r>
    </w:p>
    <w:p w:rsidR="00E530B2" w:rsidRDefault="00E530B2" w:rsidP="00E530B2">
      <w:pPr>
        <w:pStyle w:val="Default"/>
        <w:spacing w:line="276" w:lineRule="auto"/>
        <w:jc w:val="center"/>
      </w:pPr>
    </w:p>
    <w:p w:rsidR="00E530B2" w:rsidRDefault="00E530B2" w:rsidP="00E530B2">
      <w:pPr>
        <w:pStyle w:val="Default"/>
        <w:spacing w:line="276" w:lineRule="auto"/>
      </w:pPr>
      <w:r>
        <w:t xml:space="preserve">1. Táto smernica je zverejnená a sprístupnená na webovom sídle </w:t>
      </w:r>
    </w:p>
    <w:p w:rsidR="00E530B2" w:rsidRDefault="00E530B2" w:rsidP="00E530B2">
      <w:pPr>
        <w:pStyle w:val="Default"/>
        <w:spacing w:line="276" w:lineRule="auto"/>
      </w:pPr>
      <w:r>
        <w:t xml:space="preserve">2. Táto smernica nadobúda účinnosť dňa 1.9.2023 </w:t>
      </w: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Púchove, dňa 1.9.2023</w:t>
      </w: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Mgr. Iveta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Smahová</w:t>
      </w:r>
      <w:proofErr w:type="spellEnd"/>
    </w:p>
    <w:p w:rsidR="00E530B2" w:rsidRDefault="00E530B2" w:rsidP="00E530B2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riaditeľka</w:t>
      </w: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3" w:type="dxa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47"/>
        <w:gridCol w:w="2180"/>
        <w:gridCol w:w="2492"/>
      </w:tblGrid>
      <w:tr w:rsidR="00E530B2" w:rsidTr="00E530B2">
        <w:trPr>
          <w:trHeight w:val="853"/>
        </w:trPr>
        <w:tc>
          <w:tcPr>
            <w:tcW w:w="9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before="8" w:line="276" w:lineRule="auto"/>
              <w:rPr>
                <w:sz w:val="20"/>
                <w:lang w:val="en-US"/>
              </w:rPr>
            </w:pPr>
            <w:bookmarkStart w:id="2" w:name="_GoBack"/>
            <w:bookmarkEnd w:id="2"/>
          </w:p>
          <w:p w:rsidR="00E530B2" w:rsidRDefault="00E530B2">
            <w:pPr>
              <w:pStyle w:val="TableParagraph"/>
              <w:spacing w:before="1" w:line="276" w:lineRule="auto"/>
              <w:ind w:left="143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Záznam</w:t>
            </w:r>
            <w:proofErr w:type="spellEnd"/>
            <w:r>
              <w:rPr>
                <w:i/>
                <w:sz w:val="24"/>
                <w:lang w:val="en-US"/>
              </w:rPr>
              <w:t xml:space="preserve"> o </w:t>
            </w:r>
            <w:proofErr w:type="spellStart"/>
            <w:r>
              <w:rPr>
                <w:i/>
                <w:sz w:val="24"/>
                <w:lang w:val="en-US"/>
              </w:rPr>
              <w:t>oboznámení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zamestnancov</w:t>
            </w:r>
            <w:proofErr w:type="spellEnd"/>
            <w:r>
              <w:rPr>
                <w:i/>
                <w:sz w:val="24"/>
                <w:lang w:val="en-US"/>
              </w:rPr>
              <w:t xml:space="preserve"> CPP </w:t>
            </w:r>
            <w:proofErr w:type="spellStart"/>
            <w:r>
              <w:rPr>
                <w:i/>
                <w:sz w:val="24"/>
                <w:lang w:val="en-US"/>
              </w:rPr>
              <w:t>Námestie</w:t>
            </w:r>
            <w:proofErr w:type="spellEnd"/>
            <w:r>
              <w:rPr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lang w:val="en-US"/>
              </w:rPr>
              <w:t>slobody</w:t>
            </w:r>
            <w:proofErr w:type="spellEnd"/>
            <w:r>
              <w:rPr>
                <w:i/>
                <w:sz w:val="24"/>
                <w:lang w:val="en-US"/>
              </w:rPr>
              <w:t xml:space="preserve"> 1657/13, </w:t>
            </w:r>
            <w:proofErr w:type="spellStart"/>
            <w:r>
              <w:rPr>
                <w:i/>
                <w:sz w:val="24"/>
                <w:lang w:val="en-US"/>
              </w:rPr>
              <w:t>Púchov</w:t>
            </w:r>
            <w:proofErr w:type="spellEnd"/>
            <w:r>
              <w:rPr>
                <w:i/>
                <w:sz w:val="24"/>
                <w:lang w:val="en-US"/>
              </w:rPr>
              <w:t xml:space="preserve"> so </w:t>
            </w:r>
            <w:proofErr w:type="spellStart"/>
            <w:r>
              <w:rPr>
                <w:i/>
                <w:sz w:val="24"/>
                <w:lang w:val="en-US"/>
              </w:rPr>
              <w:t>smernicou</w:t>
            </w:r>
            <w:proofErr w:type="spellEnd"/>
          </w:p>
          <w:p w:rsidR="00E530B2" w:rsidRDefault="00E530B2">
            <w:pPr>
              <w:pStyle w:val="TableParagraph"/>
              <w:spacing w:line="276" w:lineRule="auto"/>
              <w:ind w:left="143"/>
              <w:rPr>
                <w:b/>
                <w:i/>
                <w:sz w:val="24"/>
                <w:lang w:val="en-US"/>
              </w:rPr>
            </w:pPr>
          </w:p>
        </w:tc>
      </w:tr>
      <w:tr w:rsidR="00E530B2" w:rsidTr="00E530B2">
        <w:trPr>
          <w:trHeight w:val="34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0B2" w:rsidRDefault="00E530B2">
            <w:pPr>
              <w:pStyle w:val="TableParagraph"/>
              <w:spacing w:before="117" w:line="276" w:lineRule="auto"/>
              <w:ind w:left="251"/>
              <w:rPr>
                <w:b/>
                <w:i/>
                <w:sz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lang w:val="en-US"/>
              </w:rPr>
              <w:t>Dátum</w:t>
            </w:r>
            <w:proofErr w:type="spellEnd"/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0B2" w:rsidRDefault="00E530B2">
            <w:pPr>
              <w:pStyle w:val="TableParagraph"/>
              <w:spacing w:before="117" w:line="276" w:lineRule="auto"/>
              <w:ind w:left="184"/>
              <w:rPr>
                <w:b/>
                <w:i/>
                <w:sz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lang w:val="en-US"/>
              </w:rPr>
              <w:t>Meno</w:t>
            </w:r>
            <w:proofErr w:type="spellEnd"/>
            <w:r>
              <w:rPr>
                <w:b/>
                <w:i/>
                <w:sz w:val="20"/>
                <w:lang w:val="en-US"/>
              </w:rPr>
              <w:t xml:space="preserve"> a </w:t>
            </w:r>
            <w:proofErr w:type="spellStart"/>
            <w:r>
              <w:rPr>
                <w:b/>
                <w:i/>
                <w:sz w:val="20"/>
                <w:lang w:val="en-US"/>
              </w:rPr>
              <w:t>priezvisko</w:t>
            </w:r>
            <w:proofErr w:type="spellEnd"/>
            <w:r>
              <w:rPr>
                <w:b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en-US"/>
              </w:rPr>
              <w:t>zamestnanca</w:t>
            </w:r>
            <w:proofErr w:type="spell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0B2" w:rsidRDefault="00E530B2">
            <w:pPr>
              <w:pStyle w:val="TableParagraph"/>
              <w:spacing w:before="117" w:line="276" w:lineRule="auto"/>
              <w:ind w:left="668"/>
              <w:rPr>
                <w:b/>
                <w:i/>
                <w:sz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lang w:val="en-US"/>
              </w:rPr>
              <w:t>Funkcia</w:t>
            </w:r>
            <w:proofErr w:type="spellEnd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0B2" w:rsidRDefault="00E530B2">
            <w:pPr>
              <w:pStyle w:val="TableParagraph"/>
              <w:spacing w:before="117" w:line="276" w:lineRule="auto"/>
              <w:ind w:left="880" w:right="1001"/>
              <w:jc w:val="center"/>
              <w:rPr>
                <w:b/>
                <w:i/>
                <w:sz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lang w:val="en-US"/>
              </w:rPr>
              <w:t>Podpis</w:t>
            </w:r>
            <w:proofErr w:type="spellEnd"/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  <w:tr w:rsidR="00E530B2" w:rsidTr="00E530B2">
        <w:trPr>
          <w:trHeight w:val="39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B2" w:rsidRDefault="00E530B2">
            <w:pPr>
              <w:pStyle w:val="TableParagraph"/>
              <w:spacing w:line="276" w:lineRule="auto"/>
              <w:rPr>
                <w:lang w:val="en-US"/>
              </w:rPr>
            </w:pPr>
          </w:p>
        </w:tc>
      </w:tr>
    </w:tbl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</w:rPr>
      </w:pPr>
    </w:p>
    <w:p w:rsidR="00E530B2" w:rsidRDefault="00E530B2" w:rsidP="00E530B2">
      <w:pPr>
        <w:spacing w:line="276" w:lineRule="auto"/>
        <w:rPr>
          <w:rFonts w:ascii="Times New Roman" w:eastAsia="Times New Roman" w:hAnsi="Times New Roman" w:cs="Times New Roman"/>
        </w:rPr>
      </w:pPr>
    </w:p>
    <w:p w:rsidR="00277CBD" w:rsidRDefault="00277CBD"/>
    <w:sectPr w:rsidR="0027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2218"/>
    <w:multiLevelType w:val="hybridMultilevel"/>
    <w:tmpl w:val="C1D834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F006A3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6A7B"/>
    <w:multiLevelType w:val="hybridMultilevel"/>
    <w:tmpl w:val="78ACF20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6D50BE"/>
    <w:multiLevelType w:val="hybridMultilevel"/>
    <w:tmpl w:val="9DF2D6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E7"/>
    <w:rsid w:val="00277304"/>
    <w:rsid w:val="00277CBD"/>
    <w:rsid w:val="00AF5FE7"/>
    <w:rsid w:val="00E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51A7-E60A-4086-B171-48D72EB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30B2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530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530B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uiPriority w:val="99"/>
    <w:semiHidden/>
    <w:unhideWhenUsed/>
    <w:rsid w:val="00E530B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E530B2"/>
    <w:pPr>
      <w:ind w:left="708"/>
    </w:pPr>
  </w:style>
  <w:style w:type="paragraph" w:customStyle="1" w:styleId="TableParagraph">
    <w:name w:val="Table Paragraph"/>
    <w:basedOn w:val="Normlny"/>
    <w:uiPriority w:val="1"/>
    <w:qFormat/>
    <w:rsid w:val="00E530B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E530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lasovanie.poradnap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2153</Words>
  <Characters>12273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</dc:creator>
  <cp:keywords/>
  <dc:description/>
  <cp:lastModifiedBy>poradna</cp:lastModifiedBy>
  <cp:revision>3</cp:revision>
  <dcterms:created xsi:type="dcterms:W3CDTF">2024-07-03T11:37:00Z</dcterms:created>
  <dcterms:modified xsi:type="dcterms:W3CDTF">2024-07-03T11:39:00Z</dcterms:modified>
</cp:coreProperties>
</file>